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FD" w:rsidRPr="00707314" w:rsidRDefault="001A4CFD" w:rsidP="001A4C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95">
        <w:rPr>
          <w:rFonts w:ascii="Times New Roman" w:hAnsi="Times New Roman" w:cs="Times New Roman"/>
          <w:b/>
          <w:sz w:val="24"/>
          <w:szCs w:val="24"/>
        </w:rPr>
        <w:t xml:space="preserve">Sprawozdanie z kontroli doraźnej przeprowadzonej w </w:t>
      </w:r>
      <w:r>
        <w:rPr>
          <w:rFonts w:ascii="Times New Roman" w:hAnsi="Times New Roman" w:cs="Times New Roman"/>
          <w:b/>
          <w:sz w:val="24"/>
          <w:szCs w:val="24"/>
        </w:rPr>
        <w:t>Szkole Podstawowej</w:t>
      </w:r>
      <w:r w:rsidRPr="007073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2</w:t>
      </w:r>
      <w:r w:rsidRPr="0070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A3" w:rsidRPr="00783D4A">
        <w:rPr>
          <w:rFonts w:ascii="Times New Roman" w:hAnsi="Times New Roman" w:cs="Times New Roman"/>
          <w:b/>
          <w:sz w:val="24"/>
          <w:szCs w:val="24"/>
        </w:rPr>
        <w:t>im. Marii Konopnickiej w Kielcach, ul. Generała Tadeusza Kościuszki 5</w:t>
      </w:r>
      <w:r w:rsidR="0032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A3" w:rsidRPr="00783D4A">
        <w:rPr>
          <w:rFonts w:ascii="Times New Roman" w:hAnsi="Times New Roman" w:cs="Times New Roman"/>
          <w:b/>
          <w:sz w:val="24"/>
          <w:szCs w:val="24"/>
        </w:rPr>
        <w:t>w Kielcach</w:t>
      </w:r>
      <w:r w:rsidR="003253A3" w:rsidRPr="0070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5A">
        <w:rPr>
          <w:rFonts w:ascii="Times New Roman" w:hAnsi="Times New Roman" w:cs="Times New Roman"/>
          <w:b/>
          <w:sz w:val="24"/>
          <w:szCs w:val="24"/>
        </w:rPr>
        <w:br/>
      </w:r>
      <w:r w:rsidRPr="00707314">
        <w:rPr>
          <w:rFonts w:ascii="Times New Roman" w:hAnsi="Times New Roman" w:cs="Times New Roman"/>
          <w:b/>
          <w:sz w:val="24"/>
          <w:szCs w:val="24"/>
        </w:rPr>
        <w:t>w Kielcach.</w:t>
      </w:r>
    </w:p>
    <w:p w:rsidR="001A4CFD" w:rsidRPr="00237222" w:rsidRDefault="001A4CFD" w:rsidP="001A4C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22">
        <w:rPr>
          <w:rFonts w:ascii="Times New Roman" w:hAnsi="Times New Roman" w:cs="Times New Roman"/>
          <w:sz w:val="24"/>
          <w:szCs w:val="24"/>
        </w:rPr>
        <w:t>Na podstawie upoważnienia Nr 17/2018 z dnia 17 sierpnia 2018 r. wydanego przez Prezydenta Miasta Kielce pracownicy Wydziału Audytu Wewnętrznego i Kontroli Urzędu Miasta Kielce przeprowadzili w dniach od  23 sierpnia 2018 r. do 14 września 2018 r. kontrolę doraźną w zakresie określonym programem kontroli.</w:t>
      </w:r>
    </w:p>
    <w:p w:rsidR="001A4CFD" w:rsidRPr="00771121" w:rsidRDefault="001A4CFD" w:rsidP="001A4C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1A4CFD" w:rsidRPr="00771121" w:rsidRDefault="001A4CFD" w:rsidP="001A4CFD">
      <w:pPr>
        <w:pStyle w:val="Tekstpodstawowywcity2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 zgodności z obowiązującymi przepisami prawa i stanem faktycznym: Zasad (polityki) rachunkowości w zakresie obowiązujących w jednostce ksiąg rachunkowych oraz stosowanych technik ich prowadzenia, obowiązującego w jednostce planu kont </w:t>
      </w:r>
      <w:r>
        <w:rPr>
          <w:sz w:val="24"/>
          <w:szCs w:val="24"/>
        </w:rPr>
        <w:br/>
        <w:t xml:space="preserve">i wykorzystywania kont; Regulaminu Pracy w zakresie przyznawania i zdawania odzieży </w:t>
      </w:r>
      <w:r>
        <w:rPr>
          <w:sz w:val="24"/>
          <w:szCs w:val="24"/>
        </w:rPr>
        <w:br/>
        <w:t>i obuwia roboczego oraz środków ochrony indywidualnej przez pracowników szkoły; Regulaminu Zakładowego Funduszu Świadczeń Socjalnych w zakresie charakteru przyznawanych świadczeń oraz przewidzianych kwot dofinansowania danego progu dochodowego; Instrukcji gospodarki drukami ścisłego zarachowania w zakresie obowiązujących w jednostce rodzajów druków ścisłego zarachowania. Ponadto stwierdzono, że obowiązujące w jednostce regulaminy posiadają liczne zmiany, które wprowadzane są aneksem do regulaminu. W aneksach brak przywoływania konkretnego paragrafu, punktu itp. regulaminu, do którego wprowadza się zmianę.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>
        <w:rPr>
          <w:szCs w:val="24"/>
        </w:rPr>
        <w:t xml:space="preserve">Kontrola ustaliła, że przyjęte wpłaty za żywienie nie są ujmowane w raporcie kasowym </w:t>
      </w:r>
      <w:r>
        <w:rPr>
          <w:szCs w:val="24"/>
        </w:rPr>
        <w:br/>
        <w:t>w dniu ich dokonania. Na dzień przeprowadzonej kontroli na stanie świetlicy szkolnej, znajdowała się gotówka z wpłat za żywienie z dnia 05.09.2018 r. oraz z dnia 06.09.2018 r.</w:t>
      </w:r>
      <w:r>
        <w:rPr>
          <w:color w:val="92D050"/>
          <w:szCs w:val="24"/>
        </w:rPr>
        <w:t xml:space="preserve"> </w:t>
      </w:r>
      <w:r>
        <w:rPr>
          <w:szCs w:val="24"/>
        </w:rPr>
        <w:t>Na koniec miesiąca sporządzany jest raport kasowy, w którym ujmowana jest gotówka znajdująca się w kasie według dnia wpływu. Ponadto kontrola raportów pod względem zgodności z załączonymi dokumentami źródłowymi wykazała w przypadku raportów kasowych – ŻYWIENIE brak dokumentów KW pod raportami kasowymi uzasadniającymi dokonanie wypłaty z kasy.</w:t>
      </w:r>
      <w:r>
        <w:rPr>
          <w:color w:val="FF0000"/>
          <w:szCs w:val="24"/>
        </w:rPr>
        <w:t xml:space="preserve"> </w:t>
      </w:r>
      <w:r>
        <w:rPr>
          <w:szCs w:val="24"/>
        </w:rPr>
        <w:t>Ponadto w raportach pod jedną pozycją zaewidencjonowane są zbiorczo dowody kasowe KP - wpłaty za żywienie, KW - zwrot za niewykorzystane obiady.</w:t>
      </w:r>
    </w:p>
    <w:p w:rsidR="001A4CFD" w:rsidRPr="00771121" w:rsidRDefault="001A4CFD" w:rsidP="001A4CFD">
      <w:pPr>
        <w:pStyle w:val="Tekstpodstawowywcity2"/>
        <w:numPr>
          <w:ilvl w:val="0"/>
          <w:numId w:val="1"/>
        </w:numPr>
        <w:tabs>
          <w:tab w:val="clear" w:pos="568"/>
          <w:tab w:val="left" w:pos="9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 druków ścisłego zarachowania „legitymacje szkolne” oraz księgi druków KP </w:t>
      </w:r>
      <w:r>
        <w:rPr>
          <w:sz w:val="24"/>
          <w:szCs w:val="24"/>
        </w:rPr>
        <w:br/>
        <w:t xml:space="preserve">i KW: żywienie, dochody jednostek budżetowych, budżet, socjalny nie zawierają ewidencji rzeczywistego przychodu i rozchodu druków. Tym samym stan wynikający </w:t>
      </w:r>
      <w:r>
        <w:rPr>
          <w:sz w:val="24"/>
          <w:szCs w:val="24"/>
        </w:rPr>
        <w:br/>
        <w:t>z rejestru i ksiąg nie odpowiada faktycznej liczbie druków będących w posiadaniu jednostki.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 kontrolowanym okresie jednostka nie naliczała odsetek od nieterminowych płatności za najem. Ponadto kontrola zawartych umów najmu wykazała, że jednostka nie stosuje się do zawartych w nich zapisów dotyczących terminów płatności czynszu najmu. W związku z powyższym termin płatności wynikający z umowy  nie odpowiadał terminowi wskazanemu na wystawionej fakturze oraz faktycznej dacie zapłaty.</w:t>
      </w:r>
    </w:p>
    <w:p w:rsidR="001A4CFD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Kontrola wykazała, że na dzień 31.12.2017 r. na koncie dochodów jednostek oświatowych widniało saldo 85,80 zł. Kwota ta została przekazana na konto Urzędu Miasta Kielce dopiero w dniu 26.01.2018 r.</w:t>
      </w:r>
    </w:p>
    <w:p w:rsidR="001A4CFD" w:rsidRPr="00771121" w:rsidRDefault="001A4CFD" w:rsidP="001A4CFD">
      <w:pPr>
        <w:pStyle w:val="Akapitzlist"/>
        <w:ind w:left="360"/>
        <w:jc w:val="both"/>
        <w:rPr>
          <w:szCs w:val="24"/>
        </w:rPr>
      </w:pPr>
      <w:r>
        <w:rPr>
          <w:szCs w:val="24"/>
        </w:rPr>
        <w:t xml:space="preserve">Naruszeniem dyscypliny finansów publicznych jest: nieprzekazanie w terminie do budżetu w należnej wysokości pobranych dochodów należnych Skarbowi Państwa lub jednostce samorządu terytorialnego, bądź niedokonanie w terminie wpłaty do budżetu </w:t>
      </w:r>
      <w:r>
        <w:rPr>
          <w:szCs w:val="24"/>
        </w:rPr>
        <w:br/>
        <w:t xml:space="preserve">w należnej wysokości dochodów przez jednostkę budżetową, nadwyżki środków obrotowych przez samorządowy zakład budżetowy albo nadwyżki środków finansowych </w:t>
      </w:r>
      <w:r>
        <w:rPr>
          <w:szCs w:val="24"/>
        </w:rPr>
        <w:lastRenderedPageBreak/>
        <w:t xml:space="preserve">przez agencję wykonawczą w myśl art. 6 ustawy z dnia 17 grudnia 2004 roku </w:t>
      </w:r>
      <w:r>
        <w:rPr>
          <w:szCs w:val="24"/>
        </w:rPr>
        <w:br/>
        <w:t>o odpowiedzialności za naruszenie dyscypliny finansów publicznych (Dz. U. z 2018 r., poz. 1458). Powyższe działanie stosownie do art. 26 ww. ustawy nie skutkuje wszczęciem postępowania o naruszenie dyscypliny finansów publicznych, ponieważ mamy do czynienia z działaniem lub zaniechaniem określonym w art. 5-16, którego przedmiotem są środki finansowe w wysokości nieprzekraczającej jednorazowo, a w przypadku więcej niż jednego działania lub zaniechania - łącznie w roku budżetowym, kwoty minimalnej.</w:t>
      </w:r>
    </w:p>
    <w:p w:rsidR="001A4CFD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Kontrola wykazała, że sprawozdania </w:t>
      </w:r>
      <w:proofErr w:type="spellStart"/>
      <w:r>
        <w:rPr>
          <w:szCs w:val="24"/>
        </w:rPr>
        <w:t>Rb-N</w:t>
      </w:r>
      <w:proofErr w:type="spellEnd"/>
      <w:r>
        <w:rPr>
          <w:szCs w:val="24"/>
        </w:rPr>
        <w:t xml:space="preserve"> za I, II, III, IV kwartał 2017 r. zostały sporządzone nierzetelnie. W kolumnie 14 instytucje niekomercyjne działające na rzecz gospodarstw domowych w wierszu N5.1 pozostałe należności z tytułu dostaw towarów </w:t>
      </w:r>
      <w:r>
        <w:rPr>
          <w:szCs w:val="24"/>
        </w:rPr>
        <w:br/>
        <w:t xml:space="preserve">i usług wykazano należności wszystkich dłużników krajowych nie mieszczące się pod pojęciem instytucji niekomercyjnych. Dodatkowo w sprawozdaniu Rb-34S za III kwartał 2017 r. dla rozdziału 80101 na § 4260 i § 4530 wykazano dane niezgodne z ewidencją księgową tj. na § 4260 kwotę 3.971,66 zł, a powinno być 3.997,47 zł, zaś na § 4530 kwotę 1.463,27 zł, a powinno być 1.437,46 zł. </w:t>
      </w:r>
    </w:p>
    <w:p w:rsidR="001A4CFD" w:rsidRDefault="001A4CFD" w:rsidP="001A4CFD">
      <w:pPr>
        <w:pStyle w:val="Akapitzlist"/>
        <w:ind w:left="360"/>
        <w:jc w:val="both"/>
        <w:rPr>
          <w:szCs w:val="24"/>
        </w:rPr>
      </w:pPr>
      <w:r>
        <w:rPr>
          <w:szCs w:val="24"/>
        </w:rPr>
        <w:t xml:space="preserve">Naruszeniem dyscypliny finansów publicznych jest wykazanie w sprawozdaniu danych niezgodnych z danymi wynikającymi z ewidencji księgowej w myśl art. 18 ust. 2 ustawy </w:t>
      </w:r>
      <w:r>
        <w:rPr>
          <w:szCs w:val="24"/>
        </w:rPr>
        <w:br/>
        <w:t>z dnia 17 grudnia 2004 roku o odpowiedzialności za naruszenie dyscypliny finansów publicznych (Dz. U. z 2018 r., poz. 1458). Powyższe działanie w myśl art. 26 ww. ustawy nie skutkuje wszczęciem postępowania o naruszenie dyscypliny finansów publicznych, ponieważ mamy do czynienia w tym przypadku z działaniem lub zaniechaniem określonym w art. 18 pkt 2, którego przedmiotem są środki finansowe w wysokości nieprzekraczającej jednorazowo, a w przypadku więcej niż jednego działania lub zaniechania – łącznie w roku budżetowym, kwoty minimalnej.</w:t>
      </w:r>
    </w:p>
    <w:p w:rsidR="001A4CFD" w:rsidRPr="00771121" w:rsidRDefault="001A4CFD" w:rsidP="001A4CF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771121">
        <w:rPr>
          <w:rFonts w:eastAsia="Calibri"/>
          <w:szCs w:val="24"/>
        </w:rPr>
        <w:t xml:space="preserve">Wyrywkowa kontrola losowo wybranych teczek akt osobowych pracowników administracyjno-biurowych i nauczycieli wykazała </w:t>
      </w:r>
      <w:r w:rsidRPr="00771121">
        <w:rPr>
          <w:szCs w:val="24"/>
        </w:rPr>
        <w:t xml:space="preserve">przypadki braku chronologii </w:t>
      </w:r>
      <w:r w:rsidRPr="00771121">
        <w:rPr>
          <w:szCs w:val="24"/>
        </w:rPr>
        <w:br/>
        <w:t xml:space="preserve">w poszczególnych częściach akt osobowych, niewłaściwego umieszczenia dokumentów w odpowiedniej części akt, bądź umieszczenie dokumentów nie stanowiących akt osobowych, czy braku ponumerowania części C. W aktach znajdują się dokumenty nie tworzące akt ponumerowane i umieszczone w teczce po części C. Dodatkowo analiza dokumentów znajdujących się w aktach pracowników wykazała, że w umowach </w:t>
      </w:r>
      <w:r w:rsidRPr="00771121">
        <w:rPr>
          <w:szCs w:val="24"/>
        </w:rPr>
        <w:br/>
        <w:t xml:space="preserve">o prace i angażach osób zatrudnionych w trakcie miesiąca błędnie ustalono składniki wynagrodzenia tj. w wysokości odpowiadającej przepracowanej części miesiąca. </w:t>
      </w:r>
      <w:r w:rsidRPr="00771121">
        <w:rPr>
          <w:szCs w:val="24"/>
        </w:rPr>
        <w:br/>
        <w:t>Z dokumentacji płacowej i wyciągów bankowych wynika właściwa kwota wynagrodzenia. Ponadto w związku z przedłożonym przez pracownika obsługi wnioskiem z dniu 18.12.2017 r. o doliczenie lat do stażu pracy jednostka dokonała błędnego naliczenia i wypłaty dodatku stażowego. Pracownikowi przyznano 20% dodatek stażowy od dnia 01.12.2017 r. a wynagrodzenie pracownika zmniejszono na podstawie informacji wystosowanej do pracownika, a nie dokumentem porozumienia zmieniającego warunki pracy i płacy w umowie o pracę, na które pracownik powinien wyrazić zgodę.</w:t>
      </w:r>
      <w:r w:rsidRPr="00771121">
        <w:rPr>
          <w:color w:val="FF0000"/>
          <w:szCs w:val="24"/>
        </w:rPr>
        <w:tab/>
      </w:r>
    </w:p>
    <w:p w:rsidR="001A4CFD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Liczba godzin nocnych wynikająca z harmonogramów pracy dozorców nie w każdym przypadku odpowiada liczbie godzin wykazanych w ewidencji czasu pracy. Przykładowo: w miesiącu lipcu 2017 r. wykazano w harmonogramie 56 godzin nocnych a w ewidencji 48, w miesiącu grudniu 2017 r. wykazano w harmonogramie 80 godzin nocnych </w:t>
      </w:r>
      <w:r>
        <w:rPr>
          <w:szCs w:val="24"/>
        </w:rPr>
        <w:br/>
        <w:t xml:space="preserve">a w ewidencji 64. Wynagrodzenie za godziny nocne zostało obliczone i wypłacone na podstawie liczby godzin nocnych wynikających z harmonogramu. Ponadto </w:t>
      </w:r>
      <w:r>
        <w:rPr>
          <w:szCs w:val="24"/>
        </w:rPr>
        <w:br/>
        <w:t>w harmonogramach pracy wykazano nieprawidłową normę czasu pracy i godziny wypracowane.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771121">
        <w:rPr>
          <w:szCs w:val="24"/>
        </w:rPr>
        <w:t xml:space="preserve">Kontroli poddano naliczenie wynagrodzenia urlopowego wybranych nauczycieli za miesiące czerwiec, lipiec i sierpień 2017 r. Stwierdzono, że wynagrodzenie urlopowe za </w:t>
      </w:r>
      <w:r w:rsidRPr="00771121">
        <w:rPr>
          <w:szCs w:val="24"/>
        </w:rPr>
        <w:lastRenderedPageBreak/>
        <w:t>miesiąc czerwiec 2017 r. nie zostało naliczone, zaś za sierpień 2017 r. naliczono wynagrodzenie za 11 dni.</w:t>
      </w:r>
    </w:p>
    <w:p w:rsidR="001A4CFD" w:rsidRDefault="001A4CFD" w:rsidP="001A4CFD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Kontrola ustaliła, że w podstawie trzymiesięcznej odprawy emerytalnej dla nauczyciela nie uwzględniono godzin ponadwymiarowych i godzin doraźnych zastępstw z rozdziału 85401. W przypadku odprawy dla pracownika obsługi ustalono, że odprawa w związku </w:t>
      </w:r>
      <w:r>
        <w:rPr>
          <w:szCs w:val="24"/>
        </w:rPr>
        <w:br/>
        <w:t>z przejściem na emeryturę została wypłacona przed rozwiązaniem stosunku pracy.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>
        <w:rPr>
          <w:szCs w:val="24"/>
        </w:rPr>
        <w:t>W przypadku ekwiwalentu pieniężnego za niewykorzystany urlop wypoczynkowy nauczyciela zatrudnionego w okresie od dnia 27.10.2017 r. do dnia 22.12.2017 r.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z pisma o wypłatę ekwiwalentu wynika, że pracownikowi naliczony i wypłacony został ekwiwalent za 11 dni urlopu wypoczynkowego, a powinno być za 17 dni. Ponadto wypłata ekwiwalentu nastąpiła w dniu 29.12.2017 r. </w:t>
      </w:r>
      <w:r>
        <w:rPr>
          <w:bCs/>
          <w:szCs w:val="24"/>
        </w:rPr>
        <w:t>Dodatkowo w przypadku pracownika, z którym rozwiązanie stosunku pracy nastąpiło w dniu 23.06.2017 r. wypłacono ekwiwalent w dniu 29.06.2017 r.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>Kontrola dodatkowego wynagrodzenia rocznego za 2017 r. wykazała, że z podstawy wyłączono błędną kwotę za inne usprawiedliwione nieobecności w pracy: urlopy okolicznościowe i opieki nad dzieckiem do lat 14. Przy obliczaniu potrącenia nie uwzględniono wszystkich składników wynagrodzenia z miesiąca, w którym przypadło zwolnienie od pracy lub okres niewykonywania pracy.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 xml:space="preserve">W jednym przypadku w podstawie nagrody jubileuszowej uwzględniono dodatek za wysługę w wysokości 17 %, a nie 20 %. Ponadto w nagrodzie jubileuszowej na dzień 04.09.2017 r. dla nauczyciela do podstawy przyjęto godziny ponadwymiarowe z okresu poprzedniego roku szkolnego 2016/2017. W przypadku pracownika, u którego wystąpiły godziny nocne, w podstawie nagrody uwzględniono błędną ich kwotę. Ustalono również, że w przypadku tego pracownika, w związku z uwzględnieniem lat do stażu pracy, kolejna nagroda została wypłacona w pełnej wysokości w ciągu 11 miesięcy od dnia upływu okresu uprawniającego do nabycia nagrody jubileuszowej. Dodatkowo stwierdzono, że </w:t>
      </w:r>
      <w:r w:rsidRPr="00771121">
        <w:rPr>
          <w:szCs w:val="24"/>
        </w:rPr>
        <w:br/>
        <w:t xml:space="preserve">w pismach dotyczących przyznania nagród jubileuszowych brak daty nabycia nagrody. </w:t>
      </w:r>
      <w:r w:rsidRPr="00771121">
        <w:rPr>
          <w:szCs w:val="24"/>
        </w:rPr>
        <w:br/>
        <w:t>W jednym przypadku wypłata nagrody nastąpiła przed dniem nabycia do niej prawa.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>Kontrola wykazała, że do podstawy wymiaru zasiłku chorobowego za okres 12 miesięcy kalendarzowych poprzedzających miesiąc, w którym powstała niezdolność tj. za okres marzec 2016 – luty 2017 przyjęto wypłacone miesięczne wynagrodzenie i dodatkowe składniki wynagrodzenia (wynagrodzenie za urlop, godziny ponadwymiarowe, godziny zastępstw) przysługujące przed podwyżką, która obowiązywała z mocą wsteczną tj. od 01 stycznia 2017 r. (wyrównania wynagrodzenia zasadniczego nauczycieli i obliczanych na bazie zasadniczej stawki innych składników wynagrodzenia dokonano w miesiącu kwietniu 2017 r.). Ustalona podstawa wymiaru nie została ponownie przeliczona.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 xml:space="preserve">Kontroli poddano przyznawane w 2017 r. świadczenia urlopowe z Zakładowego Funduszu Świadczeń Socjalnych dla nauczycieli oraz przyznane inne świadczenia </w:t>
      </w:r>
      <w:r w:rsidRPr="00771121">
        <w:rPr>
          <w:szCs w:val="24"/>
        </w:rPr>
        <w:br/>
        <w:t xml:space="preserve">i wypłaty ze środków Zakładowego Funduszu Świadczeń Socjalnych. W wyniku kontroli przyznanego świadczenia urlopowego z Zakładowego Funduszu Świadczeń Socjalnych dla nauczycieli stwierdzono, że nauczycielowi zatrudnionemu w okresie od 13.09.2016 r. do 23.06.2017 r. nie zostało wypłacone świadczenie urlopowe. W przypadku innych świadczeń stwierdzono, że wnioski o dofinansowanie do wypoczynku nie zawierają wymaganych regulaminowo kart urlopowych pracowników. Kontrola wniosków </w:t>
      </w:r>
      <w:r w:rsidRPr="00771121">
        <w:rPr>
          <w:szCs w:val="24"/>
        </w:rPr>
        <w:br/>
        <w:t>o zapomogę w większości przypadków wykazała, że przyznano zapomogę opodatkowaną oraz zapomogę losową opodatkowaną. Z dokumentów załączonych do wniosku wynika, że powinna być przyznana zapomoga zdrowotna oraz zapomoga pieniężna. W przypadku świadczenia socjalnego w związku ze wzmożonymi wydatkami oraz  świadczenia Mikołajkowego dla dzieci pracowników dofinansowanie przyznano bez wniosku pracownika.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lastRenderedPageBreak/>
        <w:t>W wyniku kontroli stwierdzono, że jednostka nie stosuje ustawowych zasad prowadzenia ksiąg rachunkowych. Zestawienia miesięczne obrotów i sald za okres 01.01.2017 r. – 31.12.2017 r. zostały sporządzone w formie wydruku w dniu 18.08.2018 r.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 xml:space="preserve">Kontrola zapisów księgowych i podłączonych do nich dowodów księgowych za okres październik – grudzień 2017 r. </w:t>
      </w:r>
      <w:r w:rsidRPr="00771121">
        <w:rPr>
          <w:bCs/>
          <w:szCs w:val="24"/>
        </w:rPr>
        <w:t xml:space="preserve">wykazała, że ewidencja księgowa (na dowodach księgowych) dołączona do źródłowych dokumentów (wyciągów bankowych, raportów kasowych) nie odpowiada operacjom zawartym na wyciągach, raportach. Zapisy na dowodach księgowych zawierają również operacje na kontach 998/980, 401-02/202-02. </w:t>
      </w:r>
      <w:r w:rsidRPr="00771121">
        <w:rPr>
          <w:szCs w:val="24"/>
        </w:rPr>
        <w:t xml:space="preserve">W wyniku kontroli dokumentów księgowych dotyczących dochodów jednostek oświatowych za miesiące wrzesień - grudzień 2017 r. stwierdzono, że jednostka stosuje zbiorczą ewidencję wpłat za żywienie na koncie 201-11 UCZNIOWIE </w:t>
      </w:r>
      <w:r w:rsidRPr="00771121">
        <w:rPr>
          <w:szCs w:val="24"/>
        </w:rPr>
        <w:br/>
        <w:t xml:space="preserve">w korespondencji z kontem 132-03 natomiast lista dzieci widnieje przy przypisie miesięcznym, który jest księgowany na koniec danego miesiąca. Ponadto jednostka nie stosuje wytycznych dotyczących planu kont analitycznych. Przykładowe konta funkcjonujące w jednostce: 130-01 W80101-W4010; 130-03 D80101-D0640; 201-01 D80101-D0750, 201-11_brak-_brak; 202-01 W80101-W3020, 202-03_brak-_brak. Ustalono, że jednostka faktury za energię elektryczną, wodę, </w:t>
      </w:r>
      <w:proofErr w:type="spellStart"/>
      <w:r w:rsidRPr="00771121">
        <w:rPr>
          <w:szCs w:val="24"/>
        </w:rPr>
        <w:t>c.o</w:t>
      </w:r>
      <w:proofErr w:type="spellEnd"/>
      <w:r w:rsidRPr="00771121">
        <w:rPr>
          <w:szCs w:val="24"/>
        </w:rPr>
        <w:t xml:space="preserve">. płaci ze środków budżetowych, co wynika z dokumentu księgowego (faktura). Następnie dokonywana jest refundacja części kosztów z rachunku dochodów, wynikająca jedynie z dokumentu wewnętrznego. Powyższa operacja nie jest ujmowana w miesiącu, którego dotyczy, co </w:t>
      </w:r>
      <w:r w:rsidRPr="00771121">
        <w:rPr>
          <w:szCs w:val="24"/>
        </w:rPr>
        <w:br/>
        <w:t>w konsekwencji zaburza dane wykazane w sprawozdaniach.</w:t>
      </w:r>
    </w:p>
    <w:p w:rsidR="001A4CFD" w:rsidRPr="00771121" w:rsidRDefault="001A4CFD" w:rsidP="001A4CFD">
      <w:pPr>
        <w:pStyle w:val="Akapitzlist"/>
        <w:numPr>
          <w:ilvl w:val="0"/>
          <w:numId w:val="1"/>
        </w:numPr>
        <w:jc w:val="both"/>
      </w:pPr>
      <w:r w:rsidRPr="00771121">
        <w:rPr>
          <w:szCs w:val="24"/>
        </w:rPr>
        <w:t>W wyniku kontroli kart ewidencyjnych wyposażenia dotyczących środków ochrony indywidualnej oraz odzieży i obuwia roboczego stwierdzono, że jednostka nie stosuje się do wytycznych zawartych w tabeli określającej rodzaje środków ochrony indywidualnej oraz odzieży i obuwia roboczego należnych pracownikom. W kartach nie w każdym przypadku wpisywana jest data pobrania i data zdania środków ochrony indywidualnej oraz odzieży i obuwia roboczego, a w rubryce „potwierdzenie odbioru, potwierdzenie zdania” brak podpisów osób pobierających i zdających. Dodatkowo stwierdzono, że pracownicy zakupują z własnych środków odzież, której zakup rozliczany jest na podstawie przedłożonej w jednostce faktury. W Regulaminie Pracy brak uregulowań dotyczących indywidualnych zakupów odzieży przez pracowników szkoły (wyjątek nauczyciele wychowania fizycznego).</w:t>
      </w:r>
    </w:p>
    <w:p w:rsidR="001A4CFD" w:rsidRDefault="001A4CFD" w:rsidP="001A4CFD">
      <w:pPr>
        <w:pStyle w:val="Standard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Kontrola umów zawartych ze szkołą wykazała, że: umowa w przedmiocie profilaktycznej opieki zdrowotnej została zawarta na okres dwóch lat tj. od 03.03.2017 r. do 03.03.2019 r. Realizacja ww. umowy nie została przewidziana w wieloletniej prognozie finansowej oraz umowa nie została zawarta w trybie i na zasadach określonych w przepisach ustawy </w:t>
      </w:r>
      <w:r>
        <w:rPr>
          <w:szCs w:val="24"/>
        </w:rPr>
        <w:br/>
        <w:t>z dnia 29 stycznia 2004 r. prawo zamówień publicznych.</w:t>
      </w:r>
    </w:p>
    <w:p w:rsidR="001A4CFD" w:rsidRDefault="001A4CFD" w:rsidP="001A4CFD">
      <w:pPr>
        <w:pStyle w:val="Standard"/>
        <w:jc w:val="both"/>
        <w:rPr>
          <w:szCs w:val="24"/>
        </w:rPr>
      </w:pPr>
    </w:p>
    <w:p w:rsidR="00DE06FB" w:rsidRPr="001A4CFD" w:rsidRDefault="00DE06FB" w:rsidP="001A4CFD"/>
    <w:sectPr w:rsidR="00DE06FB" w:rsidRPr="001A4CFD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93"/>
    <w:multiLevelType w:val="hybridMultilevel"/>
    <w:tmpl w:val="62F00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51784"/>
    <w:multiLevelType w:val="multilevel"/>
    <w:tmpl w:val="A574BCD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0671"/>
    <w:rsid w:val="001A4CFD"/>
    <w:rsid w:val="002366F3"/>
    <w:rsid w:val="003253A3"/>
    <w:rsid w:val="00346CF7"/>
    <w:rsid w:val="003517D6"/>
    <w:rsid w:val="00386E40"/>
    <w:rsid w:val="0052425A"/>
    <w:rsid w:val="00536BEB"/>
    <w:rsid w:val="005C0671"/>
    <w:rsid w:val="005C56F7"/>
    <w:rsid w:val="00773391"/>
    <w:rsid w:val="00812AF0"/>
    <w:rsid w:val="008C4AE9"/>
    <w:rsid w:val="008D56B5"/>
    <w:rsid w:val="00A017B4"/>
    <w:rsid w:val="00B737B6"/>
    <w:rsid w:val="00D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71"/>
    <w:pPr>
      <w:widowControl w:val="0"/>
      <w:suppressAutoHyphens/>
      <w:autoSpaceDN w:val="0"/>
    </w:pPr>
    <w:rPr>
      <w:rFonts w:ascii="Calibri" w:eastAsia="Lucida Sans Unicode" w:hAnsi="Calibri" w:cs="F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67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wcity2">
    <w:name w:val="Body Text Indent 2"/>
    <w:basedOn w:val="Standard"/>
    <w:link w:val="Tekstpodstawowywcity2Znak"/>
    <w:unhideWhenUsed/>
    <w:rsid w:val="005C0671"/>
    <w:pPr>
      <w:tabs>
        <w:tab w:val="left" w:pos="568"/>
      </w:tabs>
      <w:spacing w:line="20" w:lineRule="atLeast"/>
      <w:ind w:left="426" w:firstLine="283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0671"/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Tekstpodstawowy3">
    <w:name w:val="Body Text 3"/>
    <w:basedOn w:val="Standard"/>
    <w:link w:val="Tekstpodstawowy3Znak"/>
    <w:semiHidden/>
    <w:unhideWhenUsed/>
    <w:rsid w:val="005C067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5C0671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Akapitzlist">
    <w:name w:val="List Paragraph"/>
    <w:basedOn w:val="Standard"/>
    <w:qFormat/>
    <w:rsid w:val="005C06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2016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amachnik</dc:creator>
  <cp:keywords/>
  <dc:description/>
  <cp:lastModifiedBy>amachnik</cp:lastModifiedBy>
  <cp:revision>9</cp:revision>
  <dcterms:created xsi:type="dcterms:W3CDTF">2018-10-12T06:33:00Z</dcterms:created>
  <dcterms:modified xsi:type="dcterms:W3CDTF">2018-10-18T05:40:00Z</dcterms:modified>
</cp:coreProperties>
</file>